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Notificação Extrajudicial</w:t>
      </w:r>
    </w:p>
    <w:p>
      <w:r>
        <w:rPr>
          <w:i/>
        </w:rPr>
        <w:t>Área: Jurídico / Compliance  •  Gerado em: 18/09/2025</w:t>
      </w:r>
    </w:p>
    <w:p>
      <w:r>
        <w:t>Finalidade: Comunicação formal para constituir em mora/ajustar conduta.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